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6DC" w:rsidRPr="005C66DC" w:rsidRDefault="005C66DC" w:rsidP="005C66D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val="es-ES_tradnl" w:eastAsia="es-ES"/>
        </w:rPr>
      </w:pPr>
      <w:r w:rsidRPr="005C66DC">
        <w:rPr>
          <w:rFonts w:ascii="Arial" w:eastAsia="Times New Roman" w:hAnsi="Arial" w:cs="Arial"/>
          <w:b/>
          <w:sz w:val="24"/>
          <w:szCs w:val="20"/>
          <w:lang w:val="es-ES_tradnl" w:eastAsia="es-ES"/>
        </w:rPr>
        <w:t>ANEXO No. A6</w:t>
      </w:r>
    </w:p>
    <w:p w:rsidR="005C66DC" w:rsidRPr="005C66DC" w:rsidRDefault="005C66DC" w:rsidP="005C66DC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lang w:val="pt-BR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5C66DC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NOTA INFORMATIVA PARA LOS PARTICIPANTES DE PAÍSES MIEMBROS DE LA ORGANIZACIÓN PARA LA COOPERACIÓN Y EL DESARROLLO ECONÓMICO Y FIRMANTES DE LA CONVENCIÓN PARA COMBATIR EL COHECHO DE SERVIDORES PÚBLICOS EXTRANJEROS EN TRANSACCIONES COMERCIALES INTERNACIONALES</w:t>
      </w:r>
    </w:p>
    <w:p w:rsidR="005C66DC" w:rsidRPr="005C66DC" w:rsidRDefault="005C66DC" w:rsidP="005C66D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El compromiso de México en el combate a la corrupción ha trascendido nuestras fronteras y el ámbito de acción del gobierno federal. En el plano internacional y como miembro de la Organización para la Cooperación y el Desarrollo Económico (OCDE) y firmante de la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Convención para combatir el cohecho de servidores públicos extranjeros en transacciones comerciales internacionales</w:t>
      </w:r>
      <w:r w:rsidRPr="005C66DC">
        <w:rPr>
          <w:rFonts w:ascii="Arial" w:eastAsia="Times New Roman" w:hAnsi="Arial" w:cs="Arial"/>
          <w:lang w:val="es-ES_tradnl" w:eastAsia="es-ES"/>
        </w:rPr>
        <w:t>, hemos adquirido responsabilidades que involucran a los sectores público y privado.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compiten por las contrataciones gubernamentales.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La OCDE ha establecido mecanismos muy claros para que los países firmantes de la Convención cumplan con las recomendaciones emitidas por ésta y en el caso de México, iniciará en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noviembre de 2003</w:t>
      </w:r>
      <w:r w:rsidRPr="005C66DC">
        <w:rPr>
          <w:rFonts w:ascii="Arial" w:eastAsia="Times New Roman" w:hAnsi="Arial" w:cs="Arial"/>
          <w:lang w:val="es-ES_tradnl" w:eastAsia="es-ES"/>
        </w:rPr>
        <w:t xml:space="preserve"> una segunda fase de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evaluación</w:t>
      </w:r>
      <w:r w:rsidRPr="005C66DC">
        <w:rPr>
          <w:rFonts w:ascii="Arial" w:eastAsia="Times New Roman" w:hAnsi="Arial" w:cs="Arial"/>
          <w:lang w:val="es-ES_tradnl" w:eastAsia="es-ES"/>
        </w:rPr>
        <w:t xml:space="preserve"> –la primera ya fue aprobada- en donde un grupo de expertos verificará, entre otros:</w:t>
      </w:r>
    </w:p>
    <w:p w:rsidR="005C66DC" w:rsidRPr="005C66DC" w:rsidRDefault="005C66DC" w:rsidP="005C66D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La compatibilidad de nuestro marco jurídico con las disposiciones de la Convención.</w:t>
      </w:r>
    </w:p>
    <w:p w:rsidR="005C66DC" w:rsidRPr="005C66DC" w:rsidRDefault="005C66DC" w:rsidP="005C66D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El conocimiento que tengan los sectores público y privado de las recomendaciones de la Convención.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El resultado de esta evaluación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impactará</w:t>
      </w:r>
      <w:r w:rsidRPr="005C66DC">
        <w:rPr>
          <w:rFonts w:ascii="Arial" w:eastAsia="Times New Roman" w:hAnsi="Arial" w:cs="Arial"/>
          <w:lang w:val="es-ES_tradnl" w:eastAsia="es-ES"/>
        </w:rPr>
        <w:t xml:space="preserve"> el grado de inversión otorgado a México por las agencias calificadoras y la atracción de inversiones extranjeras.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Las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responsabilidades</w:t>
      </w:r>
      <w:r w:rsidRPr="005C66DC">
        <w:rPr>
          <w:rFonts w:ascii="Arial" w:eastAsia="Times New Roman" w:hAnsi="Arial" w:cs="Arial"/>
          <w:lang w:val="es-ES_tradnl" w:eastAsia="es-ES"/>
        </w:rPr>
        <w:t xml:space="preserve"> del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sector público</w:t>
      </w:r>
      <w:r w:rsidRPr="005C66DC">
        <w:rPr>
          <w:rFonts w:ascii="Arial" w:eastAsia="Times New Roman" w:hAnsi="Arial" w:cs="Arial"/>
          <w:lang w:val="es-ES_tradnl" w:eastAsia="es-ES"/>
        </w:rPr>
        <w:t xml:space="preserve"> se centran en:</w:t>
      </w:r>
    </w:p>
    <w:p w:rsidR="005C66DC" w:rsidRPr="005C66DC" w:rsidRDefault="005C66DC" w:rsidP="005C66D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Profundizar las reformas legales que inicio en 1999.</w:t>
      </w:r>
    </w:p>
    <w:p w:rsidR="005C66DC" w:rsidRPr="005C66DC" w:rsidRDefault="005C66DC" w:rsidP="005C66D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Difundir las recomendaciones de la Convención y las obligaciones de cada uno de los actores comprometidos en su cumplimiento.</w:t>
      </w:r>
    </w:p>
    <w:p w:rsidR="005C66DC" w:rsidRPr="005C66DC" w:rsidRDefault="005C66DC" w:rsidP="005C66D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Presentar casos de cohecho en proceso y concluidos (incluyendo aquellos relacionados con lavado de dinero y extradición).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Las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responsabilidades</w:t>
      </w:r>
      <w:r w:rsidRPr="005C66DC">
        <w:rPr>
          <w:rFonts w:ascii="Arial" w:eastAsia="Times New Roman" w:hAnsi="Arial" w:cs="Arial"/>
          <w:lang w:val="es-ES_tradnl" w:eastAsia="es-ES"/>
        </w:rPr>
        <w:t xml:space="preserve"> del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sector privado</w:t>
      </w:r>
      <w:r w:rsidRPr="005C66DC">
        <w:rPr>
          <w:rFonts w:ascii="Arial" w:eastAsia="Times New Roman" w:hAnsi="Arial" w:cs="Arial"/>
          <w:lang w:val="es-ES_tradnl" w:eastAsia="es-ES"/>
        </w:rPr>
        <w:t xml:space="preserve"> contemplan:</w:t>
      </w:r>
    </w:p>
    <w:p w:rsidR="005C66DC" w:rsidRPr="005C66DC" w:rsidRDefault="005C66DC" w:rsidP="005C66DC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b/>
          <w:bCs/>
          <w:lang w:val="es-ES_tradnl" w:eastAsia="es-ES"/>
        </w:rPr>
        <w:t>Las empresas:</w:t>
      </w:r>
      <w:r w:rsidRPr="005C66DC">
        <w:rPr>
          <w:rFonts w:ascii="Arial" w:eastAsia="Times New Roman" w:hAnsi="Arial" w:cs="Arial"/>
          <w:lang w:val="es-ES_tradnl" w:eastAsia="es-ES"/>
        </w:rPr>
        <w:t xml:space="preserve"> adoptar esquemas preventivos para el establecimiento de códigos de conducta, de mejores prácticas corporativas (controles internos, monitoreo, información financiera pública, </w:t>
      </w:r>
      <w:proofErr w:type="spellStart"/>
      <w:r w:rsidRPr="005C66DC">
        <w:rPr>
          <w:rFonts w:ascii="Arial" w:eastAsia="Times New Roman" w:hAnsi="Arial" w:cs="Arial"/>
          <w:lang w:val="es-ES_tradnl" w:eastAsia="es-ES"/>
        </w:rPr>
        <w:t>auditorias</w:t>
      </w:r>
      <w:proofErr w:type="spellEnd"/>
      <w:r w:rsidRPr="005C66DC">
        <w:rPr>
          <w:rFonts w:ascii="Arial" w:eastAsia="Times New Roman" w:hAnsi="Arial" w:cs="Arial"/>
          <w:lang w:val="es-ES_tradnl" w:eastAsia="es-ES"/>
        </w:rPr>
        <w:t xml:space="preserve"> externas) y de mecanismos que prevengan el ofrecimiento y otorgamiento de recursos o bienes a servidores públicos, para obtener beneficios particulares o para la empresa.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b/>
          <w:bCs/>
          <w:lang w:val="es-ES_tradnl" w:eastAsia="es-ES"/>
        </w:rPr>
        <w:t>Los contadores públicos:</w:t>
      </w:r>
      <w:r w:rsidRPr="005C66DC">
        <w:rPr>
          <w:rFonts w:ascii="Arial" w:eastAsia="Times New Roman" w:hAnsi="Arial" w:cs="Arial"/>
          <w:lang w:val="es-ES_tradnl" w:eastAsia="es-ES"/>
        </w:rPr>
        <w:t xml:space="preserve"> realizar </w:t>
      </w:r>
      <w:proofErr w:type="spellStart"/>
      <w:r w:rsidRPr="005C66DC">
        <w:rPr>
          <w:rFonts w:ascii="Arial" w:eastAsia="Times New Roman" w:hAnsi="Arial" w:cs="Arial"/>
          <w:lang w:val="es-ES_tradnl" w:eastAsia="es-ES"/>
        </w:rPr>
        <w:t>auditorias</w:t>
      </w:r>
      <w:proofErr w:type="spellEnd"/>
      <w:r w:rsidRPr="005C66DC">
        <w:rPr>
          <w:rFonts w:ascii="Arial" w:eastAsia="Times New Roman" w:hAnsi="Arial" w:cs="Arial"/>
          <w:lang w:val="es-ES_tradnl" w:eastAsia="es-ES"/>
        </w:rPr>
        <w:t xml:space="preserve">; no encubrir actividades ilícitas (doble contabilidad y transacciones indebidas, como asientos contables falsificados, </w:t>
      </w:r>
      <w:r w:rsidRPr="005C66DC">
        <w:rPr>
          <w:rFonts w:ascii="Arial" w:eastAsia="Times New Roman" w:hAnsi="Arial" w:cs="Arial"/>
          <w:lang w:val="es-ES_tradnl" w:eastAsia="es-ES"/>
        </w:rPr>
        <w:lastRenderedPageBreak/>
        <w:t>informes financieros fraudulentos, transferencias sin autorización, acceso a los activos sin consentimiento de la gerencia); utilizar registros contables precisos; informar a los directivos sobre conductas ilegales.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b/>
          <w:bCs/>
          <w:lang w:val="es-ES_tradnl" w:eastAsia="es-ES"/>
        </w:rPr>
        <w:t>Los abogados:</w:t>
      </w:r>
      <w:r w:rsidRPr="005C66DC">
        <w:rPr>
          <w:rFonts w:ascii="Arial" w:eastAsia="Times New Roman" w:hAnsi="Arial" w:cs="Arial"/>
          <w:lang w:val="es-ES_tradnl" w:eastAsia="es-ES"/>
        </w:rPr>
        <w:t xml:space="preserve"> promover el cumplimiento y revisión de la Convención (imprimir el carácter vinculatorio entre ésta y la legislación nacional); impulsar los esquemas preventivos que deben adoptar las empresas.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Las </w:t>
      </w:r>
      <w:r w:rsidRPr="005C66DC">
        <w:rPr>
          <w:rFonts w:ascii="Arial" w:eastAsia="Times New Roman" w:hAnsi="Arial" w:cs="Arial"/>
          <w:b/>
          <w:bCs/>
          <w:lang w:val="es-ES_tradnl" w:eastAsia="es-ES"/>
        </w:rPr>
        <w:t>sanciones</w:t>
      </w:r>
      <w:r w:rsidRPr="005C66DC">
        <w:rPr>
          <w:rFonts w:ascii="Arial" w:eastAsia="Times New Roman" w:hAnsi="Arial" w:cs="Arial"/>
          <w:lang w:val="es-ES_tradnl" w:eastAsia="es-ES"/>
        </w:rPr>
        <w:t xml:space="preserve"> impuestas a las personas físicas o morales (privados) y a los servidores públicos que incumplan las recomendaciones de la Convención, implican entre otras, privación de la libertad, extradición, decomiso y/o embargo de dinero o bienes.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empresas.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El culpable puede ser perseguido en cualquier país firmante de la Convención, independientemente del lugar donde el acto de cohecho haya sido cometido.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En la medida que estos lineamientos sean conocidos por las empresas y por los servidores públicos del país, estaremos contribuyendo a construir estructuras preventivas que impidan el incumplimiento de las recomendaciones de la convención y por lo tanto la comisión de actos de corrupción.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Por otra parte, es de señalar que el Código Penal federal sanciona el cohecho en los siguientes términos: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“Artículo 222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Comete el delito de cohecho: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El servidor público que por sí, o por interpósita persona solicite o reciba indebidamente para sí o para otro, dinero o cualquiera otra dádiva, o acepte una promesa, para hacer o dejar de hacer algo justo o injusto relacionado con sus funciones, y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El que de manera espontánea dé u ofrezca dinero o cualquier otra dádiva a alguna de las personas que se mencionan en la fracción anterior, para que cualquier servidor público haga u omita un acto justo o injusto relacionado con sus funciones.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Al que cometa el delito de cohecho se le impondrán las siguientes sanciones: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5C66DC">
        <w:rPr>
          <w:rFonts w:ascii="Arial" w:eastAsia="Times New Roman" w:hAnsi="Arial" w:cs="Arial"/>
          <w:lang w:val="es-ES_tradnl" w:eastAsia="es-ES"/>
        </w:rPr>
        <w:t>valuable</w:t>
      </w:r>
      <w:proofErr w:type="spellEnd"/>
      <w:r w:rsidRPr="005C66DC">
        <w:rPr>
          <w:rFonts w:ascii="Arial" w:eastAsia="Times New Roman" w:hAnsi="Arial" w:cs="Arial"/>
          <w:lang w:val="es-ES_tradnl" w:eastAsia="es-ES"/>
        </w:rPr>
        <w:t xml:space="preserve">, se impondrán de tres meses a dos años de prisión, multa de treinta a trescientas veces el salario mínimo diario vigente en el Distrito Federal en </w:t>
      </w:r>
      <w:r w:rsidRPr="005C66DC">
        <w:rPr>
          <w:rFonts w:ascii="Arial" w:eastAsia="Times New Roman" w:hAnsi="Arial" w:cs="Arial"/>
          <w:lang w:val="es-ES_tradnl" w:eastAsia="es-ES"/>
        </w:rPr>
        <w:lastRenderedPageBreak/>
        <w:t>el momento de cometerse el delito y destitución e inhabilitación de tres meses a dos años para desempeñar otro empleo, cargo o comisión públicos.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En ningún caso se devolverá a los responsables del delito de cohecho, el dinero o dádivas entregadas, las mismas se aplicarán en beneficio del Estado.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b/>
          <w:lang w:val="es-ES_tradnl" w:eastAsia="es-ES"/>
        </w:rPr>
      </w:pPr>
      <w:r w:rsidRPr="005C66DC">
        <w:rPr>
          <w:rFonts w:ascii="Arial" w:eastAsia="Times New Roman" w:hAnsi="Arial" w:cs="Arial"/>
          <w:b/>
          <w:lang w:val="es-ES_tradnl" w:eastAsia="es-ES"/>
        </w:rPr>
        <w:t>Capítulo XI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Cohecho a servidores públicos extranjeros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Artículo 222 BIS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A un servidor público extranjero para que gestione o se abstenga de gestionar la tramitación o resolución de asuntos relacionados con las funciones inherentes a su empleo, cargo o comisión;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A un servidor público extranjero para llevar a cabo la tramitación o resolución de cualquier asunto que se encuentre fuera del ámbito de las funciones inherentes a su empleo, cargo o comisión, o</w:t>
      </w:r>
    </w:p>
    <w:p w:rsidR="005C66DC" w:rsidRPr="005C66DC" w:rsidRDefault="005C66DC" w:rsidP="005C66DC">
      <w:pPr>
        <w:spacing w:after="0" w:line="240" w:lineRule="auto"/>
        <w:ind w:left="360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A cualquier persona para que acuda ante un servidor público extranjero y le requiera o le proponga llevar a cabo la tramitación o resolución de cualquier asunto relacionado con las funciones inherentes al empleo, cargo o comisión de este último.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Para los efectos de este artículo se entiende por servidor público extranjero, toda persona que ostente u ocupe un cargo público considerado así por la ley respectiva, en los órganos legislativo, ejecutivo o judicial de un Estado extranjero, incluyendo las agencias o empresas autónomas, independientes o de participación estatal, en cualquier orden o nivel de gobierno, así como cualquier organismo u organización pública internacionales.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5C66DC">
        <w:rPr>
          <w:rFonts w:ascii="Arial" w:eastAsia="Times New Roman" w:hAnsi="Arial" w:cs="Arial"/>
          <w:lang w:val="es-ES_tradnl" w:eastAsia="es-ES"/>
        </w:rPr>
        <w:t>Cuando alguno de los delitos comprendidos en este artículo se cometa en los supuestos a que se refiere el artículo 11 de este Código, el juez impondrá a la persona moral hasta quinientos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5C66DC" w:rsidRPr="005C66DC" w:rsidRDefault="005C66DC" w:rsidP="005C6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val="es-ES_tradnl" w:eastAsia="es-ES"/>
        </w:rPr>
      </w:pPr>
      <w:bookmarkStart w:id="0" w:name="_GoBack"/>
      <w:bookmarkEnd w:id="0"/>
    </w:p>
    <w:sectPr w:rsidR="005C66DC" w:rsidRPr="005C66DC" w:rsidSect="00614E11">
      <w:headerReference w:type="even" r:id="rId8"/>
      <w:headerReference w:type="default" r:id="rId9"/>
      <w:headerReference w:type="first" r:id="rId10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DD" w:rsidRDefault="004346DD" w:rsidP="00673A5D">
      <w:pPr>
        <w:spacing w:after="0" w:line="240" w:lineRule="auto"/>
      </w:pPr>
      <w:r>
        <w:separator/>
      </w:r>
    </w:p>
  </w:endnote>
  <w:endnote w:type="continuationSeparator" w:id="0">
    <w:p w:rsidR="004346DD" w:rsidRDefault="004346DD" w:rsidP="00673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DD" w:rsidRDefault="004346DD" w:rsidP="00673A5D">
      <w:pPr>
        <w:spacing w:after="0" w:line="240" w:lineRule="auto"/>
      </w:pPr>
      <w:r>
        <w:separator/>
      </w:r>
    </w:p>
  </w:footnote>
  <w:footnote w:type="continuationSeparator" w:id="0">
    <w:p w:rsidR="004346DD" w:rsidRDefault="004346DD" w:rsidP="00673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5D" w:rsidRDefault="004346DD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080559" o:spid="_x0000_s2050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SCT_CAPUFE_mebretada_sin_ray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B6A" w:rsidRDefault="004346DD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080560" o:spid="_x0000_s2051" type="#_x0000_t75" style="position:absolute;margin-left:-85.05pt;margin-top:-124pt;width:612pt;height:11in;z-index:-251656192;mso-position-horizontal-relative:margin;mso-position-vertical-relative:margin" o:allowincell="f">
          <v:imagedata r:id="rId1" o:title="SCT_CAPUFE_mebretada_sin_raya-01"/>
          <w10:wrap anchorx="margin" anchory="margin"/>
        </v:shape>
      </w:pict>
    </w:r>
  </w:p>
  <w:p w:rsidR="00382B6A" w:rsidRDefault="00382B6A">
    <w:pPr>
      <w:pStyle w:val="Encabezado"/>
    </w:pPr>
  </w:p>
  <w:p w:rsidR="00382B6A" w:rsidRDefault="00382B6A">
    <w:pPr>
      <w:pStyle w:val="Encabezado"/>
    </w:pPr>
  </w:p>
  <w:p w:rsidR="00382B6A" w:rsidRDefault="00382B6A">
    <w:pPr>
      <w:pStyle w:val="Encabezado"/>
    </w:pPr>
  </w:p>
  <w:p w:rsidR="00382B6A" w:rsidRDefault="00382B6A">
    <w:pPr>
      <w:pStyle w:val="Encabezado"/>
    </w:pPr>
  </w:p>
  <w:p w:rsidR="00382B6A" w:rsidRDefault="00382B6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5D" w:rsidRDefault="004346DD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080558" o:spid="_x0000_s2049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SCT_CAPUFE_mebretada_sin_raya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F9B"/>
    <w:multiLevelType w:val="hybridMultilevel"/>
    <w:tmpl w:val="CF0ECC3A"/>
    <w:lvl w:ilvl="0" w:tplc="74B017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8840C0"/>
    <w:multiLevelType w:val="hybridMultilevel"/>
    <w:tmpl w:val="8432F064"/>
    <w:lvl w:ilvl="0" w:tplc="74B017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B54683"/>
    <w:multiLevelType w:val="hybridMultilevel"/>
    <w:tmpl w:val="B79E9C5E"/>
    <w:lvl w:ilvl="0" w:tplc="C5F4B8FE">
      <w:start w:val="1"/>
      <w:numFmt w:val="upperRoman"/>
      <w:lvlText w:val="%1."/>
      <w:lvlJc w:val="left"/>
      <w:pPr>
        <w:tabs>
          <w:tab w:val="num" w:pos="1080"/>
        </w:tabs>
        <w:ind w:left="723" w:hanging="363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6C694B"/>
    <w:multiLevelType w:val="hybridMultilevel"/>
    <w:tmpl w:val="B524A920"/>
    <w:lvl w:ilvl="0" w:tplc="C5F4B8FE">
      <w:start w:val="1"/>
      <w:numFmt w:val="upperRoman"/>
      <w:lvlText w:val="%1."/>
      <w:lvlJc w:val="left"/>
      <w:pPr>
        <w:tabs>
          <w:tab w:val="num" w:pos="1080"/>
        </w:tabs>
        <w:ind w:left="723" w:hanging="363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1F2F1F"/>
    <w:multiLevelType w:val="hybridMultilevel"/>
    <w:tmpl w:val="0120718C"/>
    <w:lvl w:ilvl="0" w:tplc="74B017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6A"/>
    <w:rsid w:val="00142A4F"/>
    <w:rsid w:val="00382B6A"/>
    <w:rsid w:val="004346DD"/>
    <w:rsid w:val="005C66DC"/>
    <w:rsid w:val="00614E11"/>
    <w:rsid w:val="00673A5D"/>
    <w:rsid w:val="007A04A0"/>
    <w:rsid w:val="00D22ED0"/>
    <w:rsid w:val="00F131E7"/>
    <w:rsid w:val="00FE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3A5D"/>
  </w:style>
  <w:style w:type="paragraph" w:styleId="Piedepgina">
    <w:name w:val="footer"/>
    <w:basedOn w:val="Normal"/>
    <w:link w:val="PiedepginaCar"/>
    <w:uiPriority w:val="99"/>
    <w:unhideWhenUsed/>
    <w:rsid w:val="00673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A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3A5D"/>
  </w:style>
  <w:style w:type="paragraph" w:styleId="Piedepgina">
    <w:name w:val="footer"/>
    <w:basedOn w:val="Normal"/>
    <w:link w:val="PiedepginaCar"/>
    <w:uiPriority w:val="99"/>
    <w:unhideWhenUsed/>
    <w:rsid w:val="00673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UBGERENCIA%20LICITACIONES\ARCHIVOS%202019\CONVOCATORIAS\LO-009J0U002-EXX-2019.-SERVICIO\SCT_CAPUFE_MEMBRETADA_2018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SCT_CAPUFE_MEMBRETADA_2018</Template>
  <TotalTime>5</TotalTime>
  <Pages>3</Pages>
  <Words>1236</Words>
  <Characters>6803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Chacón Domínguez</dc:creator>
  <cp:lastModifiedBy>Elsa Chacón Domínguez</cp:lastModifiedBy>
  <cp:revision>4</cp:revision>
  <dcterms:created xsi:type="dcterms:W3CDTF">2018-12-21T18:34:00Z</dcterms:created>
  <dcterms:modified xsi:type="dcterms:W3CDTF">2018-12-21T18:42:00Z</dcterms:modified>
</cp:coreProperties>
</file>